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6F0D" w14:textId="61F3338F" w:rsidR="00E24FC1" w:rsidRPr="00EC2D64" w:rsidRDefault="000758F2" w:rsidP="00E24FC1">
      <w:pPr>
        <w:rPr>
          <w:sz w:val="32"/>
          <w:szCs w:val="32"/>
        </w:rPr>
      </w:pPr>
      <w:bookmarkStart w:id="0" w:name="_GoBack"/>
      <w:bookmarkEnd w:id="0"/>
      <w:r w:rsidRPr="000758F2">
        <w:rPr>
          <w:b/>
          <w:bCs/>
          <w:sz w:val="32"/>
          <w:szCs w:val="32"/>
          <w:lang w:val="en-GB"/>
        </w:rPr>
        <w:t>Reviewing DTT uses, innovation and investments</w:t>
      </w:r>
      <w:r>
        <w:rPr>
          <w:b/>
          <w:bCs/>
          <w:sz w:val="32"/>
          <w:szCs w:val="32"/>
          <w:lang w:val="en-GB"/>
        </w:rPr>
        <w:t xml:space="preserve"> - </w:t>
      </w:r>
      <w:r w:rsidR="00E24FC1" w:rsidRPr="00EC2D64">
        <w:rPr>
          <w:b/>
          <w:bCs/>
          <w:sz w:val="32"/>
          <w:szCs w:val="32"/>
          <w:lang w:val="en-GB"/>
        </w:rPr>
        <w:t xml:space="preserve">What’s </w:t>
      </w:r>
      <w:r w:rsidR="005A1340">
        <w:rPr>
          <w:b/>
          <w:bCs/>
          <w:sz w:val="32"/>
          <w:szCs w:val="32"/>
          <w:lang w:val="en-GB"/>
        </w:rPr>
        <w:t>next</w:t>
      </w:r>
      <w:r w:rsidR="005A1340" w:rsidRPr="00EC2D64">
        <w:rPr>
          <w:b/>
          <w:bCs/>
          <w:sz w:val="32"/>
          <w:szCs w:val="32"/>
          <w:lang w:val="en-GB"/>
        </w:rPr>
        <w:t xml:space="preserve"> </w:t>
      </w:r>
      <w:r w:rsidR="00E24FC1" w:rsidRPr="00EC2D64">
        <w:rPr>
          <w:b/>
          <w:bCs/>
          <w:sz w:val="32"/>
          <w:szCs w:val="32"/>
          <w:lang w:val="en-GB"/>
        </w:rPr>
        <w:t>after WRC-19?</w:t>
      </w:r>
    </w:p>
    <w:p w14:paraId="3AD0F96C" w14:textId="77777777" w:rsidR="00E24FC1" w:rsidRPr="00E24FC1" w:rsidRDefault="00E24FC1" w:rsidP="00E24FC1">
      <w:r>
        <w:rPr>
          <w:lang w:val="en-GB"/>
        </w:rPr>
        <w:t> </w:t>
      </w:r>
    </w:p>
    <w:p w14:paraId="1783308A" w14:textId="43D10C1E" w:rsidR="008A529A" w:rsidRDefault="008A529A" w:rsidP="002E3750">
      <w:pPr>
        <w:rPr>
          <w:lang w:val="en-GB"/>
        </w:rPr>
      </w:pPr>
      <w:r w:rsidRPr="008A529A">
        <w:rPr>
          <w:lang w:val="en-GB"/>
        </w:rPr>
        <w:t>Jaume Pujol</w:t>
      </w:r>
      <w:r w:rsidRPr="00EC2D64">
        <w:rPr>
          <w:lang w:val="en-GB"/>
        </w:rPr>
        <w:t xml:space="preserve">, the Head of Policy at BNE, </w:t>
      </w:r>
      <w:r w:rsidR="00E24FC1" w:rsidRPr="00EC2D64">
        <w:rPr>
          <w:lang w:val="en-GB"/>
        </w:rPr>
        <w:t>spoke at Forum Europe’s 5G conference 29-30 January. He</w:t>
      </w:r>
      <w:r w:rsidR="005A1340">
        <w:rPr>
          <w:lang w:val="en-GB"/>
        </w:rPr>
        <w:t xml:space="preserve"> summarized the</w:t>
      </w:r>
      <w:r w:rsidR="00E24FC1" w:rsidRPr="00EC2D64">
        <w:rPr>
          <w:lang w:val="en-GB"/>
        </w:rPr>
        <w:t xml:space="preserve"> conclusions of the WRC-19 conference</w:t>
      </w:r>
      <w:r w:rsidR="00FD5DCB">
        <w:rPr>
          <w:lang w:val="en-GB"/>
        </w:rPr>
        <w:t>,</w:t>
      </w:r>
      <w:r w:rsidR="00E24FC1" w:rsidRPr="00EC2D64">
        <w:rPr>
          <w:lang w:val="en-GB"/>
        </w:rPr>
        <w:t xml:space="preserve"> asking for a review of the uses and needs of DTT and mobile for the 470-960MHz ban</w:t>
      </w:r>
      <w:r>
        <w:rPr>
          <w:lang w:val="en-GB"/>
        </w:rPr>
        <w:t>d, and</w:t>
      </w:r>
      <w:r w:rsidRPr="00EC2D64">
        <w:rPr>
          <w:lang w:val="en-GB"/>
        </w:rPr>
        <w:t xml:space="preserve"> reminded the audience </w:t>
      </w:r>
      <w:r w:rsidR="00FD5DCB">
        <w:rPr>
          <w:lang w:val="en-GB"/>
        </w:rPr>
        <w:t>of how much</w:t>
      </w:r>
      <w:r w:rsidR="00505F8E">
        <w:rPr>
          <w:lang w:val="en-GB"/>
        </w:rPr>
        <w:t xml:space="preserve"> DTT</w:t>
      </w:r>
      <w:r w:rsidRPr="00EC2D64">
        <w:rPr>
          <w:lang w:val="en-GB"/>
        </w:rPr>
        <w:t xml:space="preserve"> </w:t>
      </w:r>
      <w:r w:rsidR="00FD5DCB">
        <w:rPr>
          <w:lang w:val="en-GB"/>
        </w:rPr>
        <w:t xml:space="preserve">needs and </w:t>
      </w:r>
      <w:r w:rsidRPr="00EC2D64">
        <w:rPr>
          <w:lang w:val="en-GB"/>
        </w:rPr>
        <w:t>uses the 470-694MHz band</w:t>
      </w:r>
      <w:r w:rsidR="00FD5DCB">
        <w:rPr>
          <w:lang w:val="en-GB"/>
        </w:rPr>
        <w:t>.</w:t>
      </w:r>
      <w:r w:rsidRPr="00AF01B6">
        <w:rPr>
          <w:lang w:val="en-GB"/>
        </w:rPr>
        <w:t xml:space="preserve"> </w:t>
      </w:r>
    </w:p>
    <w:p w14:paraId="5922FAB9" w14:textId="77777777" w:rsidR="001111B2" w:rsidRDefault="001111B2" w:rsidP="002E3750">
      <w:pPr>
        <w:rPr>
          <w:lang w:val="en-GB"/>
        </w:rPr>
      </w:pPr>
    </w:p>
    <w:p w14:paraId="0A07FD34" w14:textId="719FF706" w:rsidR="002E3750" w:rsidRPr="001111B2" w:rsidRDefault="002E3750" w:rsidP="002E3750">
      <w:r w:rsidRPr="001111B2">
        <w:rPr>
          <w:lang w:val="en-GB"/>
        </w:rPr>
        <w:t xml:space="preserve">Numbers speaks for themselves </w:t>
      </w:r>
      <w:r w:rsidR="00864385" w:rsidRPr="001111B2">
        <w:rPr>
          <w:lang w:val="en-GB"/>
        </w:rPr>
        <w:t>and reviews of use and needs will have to be based on real facts and take all stakeholders into account</w:t>
      </w:r>
      <w:r w:rsidRPr="001111B2">
        <w:rPr>
          <w:lang w:val="en-GB"/>
        </w:rPr>
        <w:t>:</w:t>
      </w:r>
    </w:p>
    <w:p w14:paraId="6F895C93" w14:textId="77777777" w:rsidR="002E3750" w:rsidRPr="00E24FC1" w:rsidRDefault="002E3750" w:rsidP="002E3750">
      <w:pPr>
        <w:numPr>
          <w:ilvl w:val="0"/>
          <w:numId w:val="1"/>
        </w:numPr>
        <w:spacing w:after="200"/>
        <w:rPr>
          <w:rFonts w:eastAsia="Times New Roman"/>
        </w:rPr>
      </w:pPr>
      <w:r>
        <w:rPr>
          <w:rFonts w:eastAsia="Times New Roman"/>
          <w:lang w:val="en-GB"/>
        </w:rPr>
        <w:t>DTT covers 90% of the world population in 150 countries - including 98 countries in Region 1 with  an average penetration of 45% and typical coverage ranging from 70 to 98%.</w:t>
      </w:r>
    </w:p>
    <w:p w14:paraId="03B16572" w14:textId="77777777" w:rsidR="002E3750" w:rsidRPr="00E24FC1" w:rsidRDefault="002E3750" w:rsidP="002E3750">
      <w:pPr>
        <w:numPr>
          <w:ilvl w:val="0"/>
          <w:numId w:val="1"/>
        </w:numPr>
        <w:spacing w:after="200"/>
        <w:rPr>
          <w:rFonts w:eastAsia="Times New Roman"/>
        </w:rPr>
      </w:pPr>
      <w:r>
        <w:rPr>
          <w:rFonts w:eastAsia="Times New Roman"/>
          <w:lang w:val="en-GB"/>
        </w:rPr>
        <w:t xml:space="preserve">Europe alone has 2000 TV channels and 250 million viewers who watch TV an average of 3:40 hours per day. </w:t>
      </w:r>
    </w:p>
    <w:p w14:paraId="02C31A98" w14:textId="76B7BE8E" w:rsidR="00E24FC1" w:rsidRPr="00EC2D64" w:rsidRDefault="002E3750" w:rsidP="00EC2D64">
      <w:pPr>
        <w:numPr>
          <w:ilvl w:val="0"/>
          <w:numId w:val="1"/>
        </w:numPr>
        <w:spacing w:after="200"/>
      </w:pPr>
      <w:r>
        <w:rPr>
          <w:rFonts w:eastAsia="Times New Roman"/>
          <w:lang w:val="en-GB"/>
        </w:rPr>
        <w:t>The 470-694MHz spectrum band is a great example of shared use : DTT shares it with programme-making and special events, scientific and aeronautical services -  sectors that are not always heard but whose contributions are key for the world as we know it.</w:t>
      </w:r>
      <w:r w:rsidR="00E24FC1" w:rsidRPr="00EC2D64">
        <w:rPr>
          <w:lang w:val="en-GB"/>
        </w:rPr>
        <w:t> </w:t>
      </w:r>
    </w:p>
    <w:p w14:paraId="52630989" w14:textId="2BBA295B" w:rsidR="00340303" w:rsidRDefault="008A529A" w:rsidP="00340303">
      <w:pPr>
        <w:rPr>
          <w:lang w:val="en-GB"/>
        </w:rPr>
      </w:pPr>
      <w:r>
        <w:rPr>
          <w:lang w:val="en-GB"/>
        </w:rPr>
        <w:t xml:space="preserve">He reminded all corporate, media and policy stakeholders </w:t>
      </w:r>
      <w:r w:rsidR="00340303">
        <w:rPr>
          <w:lang w:val="en-GB"/>
        </w:rPr>
        <w:t>present of two important things :</w:t>
      </w:r>
    </w:p>
    <w:p w14:paraId="7133A7C5" w14:textId="77777777" w:rsidR="00340303" w:rsidRDefault="00340303" w:rsidP="00340303">
      <w:pPr>
        <w:rPr>
          <w:lang w:val="en-GB"/>
        </w:rPr>
      </w:pPr>
    </w:p>
    <w:p w14:paraId="0FB58142" w14:textId="42CE0F75" w:rsidR="00E24FC1" w:rsidRPr="001111B2" w:rsidRDefault="00340303" w:rsidP="00EC2D64">
      <w:pPr>
        <w:rPr>
          <w:lang w:val="en-GB"/>
        </w:rPr>
      </w:pPr>
      <w:r w:rsidRPr="001111B2">
        <w:rPr>
          <w:lang w:val="en-GB"/>
        </w:rPr>
        <w:t>M</w:t>
      </w:r>
      <w:r w:rsidR="00E24FC1" w:rsidRPr="001111B2">
        <w:rPr>
          <w:lang w:val="en-GB"/>
        </w:rPr>
        <w:t xml:space="preserve">ore than ever, </w:t>
      </w:r>
      <w:hyperlink r:id="rId5" w:history="1">
        <w:r w:rsidR="008A529A" w:rsidRPr="00E53FF8">
          <w:rPr>
            <w:rStyle w:val="Hyperlink"/>
            <w:lang w:val="en-GB"/>
          </w:rPr>
          <w:t>broadcast network operators are</w:t>
        </w:r>
        <w:r w:rsidR="00E24FC1" w:rsidRPr="00E53FF8">
          <w:rPr>
            <w:rStyle w:val="Hyperlink"/>
            <w:lang w:val="en-GB"/>
          </w:rPr>
          <w:t xml:space="preserve"> innovating to improve user experience</w:t>
        </w:r>
      </w:hyperlink>
      <w:r w:rsidRPr="001111B2">
        <w:rPr>
          <w:lang w:val="en-GB"/>
        </w:rPr>
        <w:t xml:space="preserve"> : T</w:t>
      </w:r>
      <w:r w:rsidR="00876D33" w:rsidRPr="001111B2">
        <w:rPr>
          <w:lang w:val="en-GB"/>
        </w:rPr>
        <w:t>his is obvious with m</w:t>
      </w:r>
      <w:r w:rsidR="00E24FC1" w:rsidRPr="001111B2">
        <w:rPr>
          <w:lang w:val="en-GB"/>
        </w:rPr>
        <w:t>igration to DVB-T2, HD &amp; UHD contents, interactive services</w:t>
      </w:r>
      <w:r w:rsidRPr="001111B2">
        <w:rPr>
          <w:lang w:val="en-GB"/>
        </w:rPr>
        <w:t>. 5G broadcasting options</w:t>
      </w:r>
      <w:r w:rsidR="00FD5DCB" w:rsidRPr="001111B2">
        <w:rPr>
          <w:lang w:val="en-GB"/>
        </w:rPr>
        <w:t xml:space="preserve"> are being explored</w:t>
      </w:r>
      <w:r w:rsidRPr="001111B2">
        <w:rPr>
          <w:lang w:val="en-GB"/>
        </w:rPr>
        <w:t>,</w:t>
      </w:r>
      <w:r w:rsidR="005A1340" w:rsidRPr="001111B2">
        <w:rPr>
          <w:lang w:val="en-GB"/>
        </w:rPr>
        <w:t xml:space="preserve"> </w:t>
      </w:r>
      <w:r w:rsidRPr="001111B2">
        <w:rPr>
          <w:lang w:val="en-GB"/>
        </w:rPr>
        <w:t xml:space="preserve"> </w:t>
      </w:r>
      <w:r w:rsidR="00FD5DCB" w:rsidRPr="001111B2">
        <w:rPr>
          <w:lang w:val="en-GB"/>
        </w:rPr>
        <w:t>to</w:t>
      </w:r>
      <w:r w:rsidRPr="001111B2">
        <w:rPr>
          <w:lang w:val="en-GB"/>
        </w:rPr>
        <w:t xml:space="preserve"> provide viewers with innovative options that fit within </w:t>
      </w:r>
      <w:r w:rsidR="00FD5DCB" w:rsidRPr="001111B2">
        <w:rPr>
          <w:lang w:val="en-GB"/>
        </w:rPr>
        <w:t>Europe’s</w:t>
      </w:r>
      <w:r w:rsidRPr="001111B2">
        <w:rPr>
          <w:lang w:val="en-GB"/>
        </w:rPr>
        <w:t xml:space="preserve"> </w:t>
      </w:r>
      <w:r w:rsidR="00876D33" w:rsidRPr="001111B2">
        <w:rPr>
          <w:lang w:val="en-GB"/>
        </w:rPr>
        <w:t xml:space="preserve"> regulatory framework</w:t>
      </w:r>
      <w:r w:rsidR="00E24FC1" w:rsidRPr="001111B2">
        <w:rPr>
          <w:lang w:val="en-GB"/>
        </w:rPr>
        <w:t>. </w:t>
      </w:r>
    </w:p>
    <w:p w14:paraId="698EC3B9" w14:textId="77777777" w:rsidR="008D4882" w:rsidRPr="001111B2" w:rsidRDefault="008D4882" w:rsidP="00E24FC1"/>
    <w:p w14:paraId="6FFE088D" w14:textId="186C427C" w:rsidR="002E3750" w:rsidRPr="00EC2D64" w:rsidRDefault="00FD5DCB" w:rsidP="00E24FC1">
      <w:pPr>
        <w:rPr>
          <w:lang w:val="en-GB"/>
        </w:rPr>
      </w:pPr>
      <w:r w:rsidRPr="001111B2">
        <w:rPr>
          <w:lang w:val="en-GB"/>
        </w:rPr>
        <w:t>I</w:t>
      </w:r>
      <w:r w:rsidR="008A529A" w:rsidRPr="001111B2">
        <w:rPr>
          <w:lang w:val="en-GB"/>
        </w:rPr>
        <w:t xml:space="preserve">n 2017, </w:t>
      </w:r>
      <w:r w:rsidR="00E24FC1" w:rsidRPr="001111B2">
        <w:rPr>
          <w:lang w:val="en-GB"/>
        </w:rPr>
        <w:t xml:space="preserve">a </w:t>
      </w:r>
      <w:r w:rsidR="00876D33" w:rsidRPr="001111B2">
        <w:rPr>
          <w:lang w:val="en-GB"/>
        </w:rPr>
        <w:t>d</w:t>
      </w:r>
      <w:r w:rsidR="00E24FC1" w:rsidRPr="001111B2">
        <w:rPr>
          <w:lang w:val="en-GB"/>
        </w:rPr>
        <w:t xml:space="preserve">ecision </w:t>
      </w:r>
      <w:r w:rsidR="008D4882" w:rsidRPr="001111B2">
        <w:rPr>
          <w:lang w:val="en-GB"/>
        </w:rPr>
        <w:t xml:space="preserve">was </w:t>
      </w:r>
      <w:r w:rsidR="002E3750" w:rsidRPr="001111B2">
        <w:rPr>
          <w:lang w:val="en-GB"/>
        </w:rPr>
        <w:t>made by</w:t>
      </w:r>
      <w:r>
        <w:rPr>
          <w:lang w:val="en-GB"/>
        </w:rPr>
        <w:t xml:space="preserve"> the European Parliament, Commission and Council</w:t>
      </w:r>
      <w:r w:rsidR="002E3750" w:rsidRPr="00EC2D64" w:rsidDel="008D4882">
        <w:rPr>
          <w:lang w:val="en-GB"/>
        </w:rPr>
        <w:t xml:space="preserve"> </w:t>
      </w:r>
      <w:r w:rsidR="008D4882" w:rsidRPr="00EC2D64">
        <w:rPr>
          <w:lang w:val="en-GB"/>
        </w:rPr>
        <w:t xml:space="preserve">on </w:t>
      </w:r>
      <w:r w:rsidR="00E24FC1" w:rsidRPr="00EC2D64">
        <w:rPr>
          <w:lang w:val="en-GB"/>
        </w:rPr>
        <w:t>the future of the UHF band</w:t>
      </w:r>
      <w:r w:rsidR="002E3750" w:rsidRPr="00EC2D64">
        <w:rPr>
          <w:lang w:val="en-GB"/>
        </w:rPr>
        <w:t xml:space="preserve">. </w:t>
      </w:r>
      <w:r w:rsidR="008A529A" w:rsidRPr="00EC2D64">
        <w:rPr>
          <w:lang w:val="en-GB"/>
        </w:rPr>
        <w:t>Th</w:t>
      </w:r>
      <w:r>
        <w:rPr>
          <w:lang w:val="en-GB"/>
        </w:rPr>
        <w:t>e</w:t>
      </w:r>
      <w:r w:rsidR="008A529A" w:rsidRPr="00EC2D64">
        <w:rPr>
          <w:lang w:val="en-GB"/>
        </w:rPr>
        <w:t xml:space="preserve"> decision </w:t>
      </w:r>
      <w:r w:rsidR="00340303" w:rsidRPr="00EC2D64">
        <w:rPr>
          <w:lang w:val="en-GB"/>
        </w:rPr>
        <w:t xml:space="preserve">is binding and it </w:t>
      </w:r>
      <w:r w:rsidR="008A529A" w:rsidRPr="00EC2D64">
        <w:rPr>
          <w:lang w:val="en-GB"/>
        </w:rPr>
        <w:t xml:space="preserve">says </w:t>
      </w:r>
      <w:r w:rsidR="00340303" w:rsidRPr="00EC2D64">
        <w:rPr>
          <w:lang w:val="en-GB"/>
        </w:rPr>
        <w:t>2 things :</w:t>
      </w:r>
    </w:p>
    <w:p w14:paraId="792193CA" w14:textId="42DBE71A" w:rsidR="002E3750" w:rsidRPr="00EC2D64" w:rsidRDefault="008D4882" w:rsidP="00EC2D64">
      <w:pPr>
        <w:pStyle w:val="ListParagraph"/>
        <w:numPr>
          <w:ilvl w:val="0"/>
          <w:numId w:val="2"/>
        </w:numPr>
        <w:rPr>
          <w:lang w:val="en-GB"/>
        </w:rPr>
      </w:pPr>
      <w:r w:rsidRPr="00EC2D64">
        <w:rPr>
          <w:lang w:val="en-GB"/>
        </w:rPr>
        <w:t>B</w:t>
      </w:r>
      <w:r w:rsidR="00E24FC1" w:rsidRPr="00EC2D64">
        <w:rPr>
          <w:lang w:val="en-GB"/>
        </w:rPr>
        <w:t xml:space="preserve">roadcasters </w:t>
      </w:r>
      <w:r w:rsidR="00FD5DCB">
        <w:rPr>
          <w:lang w:val="en-GB"/>
        </w:rPr>
        <w:t>are to</w:t>
      </w:r>
      <w:r w:rsidRPr="00EC2D64">
        <w:rPr>
          <w:lang w:val="en-GB"/>
        </w:rPr>
        <w:t xml:space="preserve"> </w:t>
      </w:r>
      <w:r w:rsidR="00E24FC1" w:rsidRPr="00EC2D64">
        <w:rPr>
          <w:lang w:val="en-GB"/>
        </w:rPr>
        <w:t xml:space="preserve">invest to migrate </w:t>
      </w:r>
      <w:r w:rsidRPr="00EC2D64">
        <w:rPr>
          <w:lang w:val="en-GB"/>
        </w:rPr>
        <w:t xml:space="preserve">their </w:t>
      </w:r>
      <w:r w:rsidR="00E24FC1" w:rsidRPr="00EC2D64">
        <w:rPr>
          <w:lang w:val="en-GB"/>
        </w:rPr>
        <w:t xml:space="preserve">networks from the 700MHz before June 2020 </w:t>
      </w:r>
      <w:r w:rsidR="008A529A">
        <w:rPr>
          <w:lang w:val="en-GB"/>
        </w:rPr>
        <w:t>(with</w:t>
      </w:r>
      <w:r w:rsidR="00E24FC1" w:rsidRPr="00EC2D64">
        <w:rPr>
          <w:lang w:val="en-GB"/>
        </w:rPr>
        <w:t xml:space="preserve"> a </w:t>
      </w:r>
      <w:r w:rsidRPr="00EC2D64">
        <w:rPr>
          <w:lang w:val="en-GB"/>
        </w:rPr>
        <w:t xml:space="preserve">margin of </w:t>
      </w:r>
      <w:r w:rsidR="00E24FC1" w:rsidRPr="00EC2D64">
        <w:rPr>
          <w:lang w:val="en-GB"/>
        </w:rPr>
        <w:t>flexibility of 2 years</w:t>
      </w:r>
      <w:r w:rsidR="008A529A">
        <w:rPr>
          <w:lang w:val="en-GB"/>
        </w:rPr>
        <w:t>)</w:t>
      </w:r>
      <w:r w:rsidR="002E3750" w:rsidRPr="00EC2D64">
        <w:rPr>
          <w:lang w:val="en-GB"/>
        </w:rPr>
        <w:t>.</w:t>
      </w:r>
      <w:r w:rsidR="00E24FC1" w:rsidRPr="00EC2D64">
        <w:rPr>
          <w:lang w:val="en-GB"/>
        </w:rPr>
        <w:t xml:space="preserve"> </w:t>
      </w:r>
    </w:p>
    <w:p w14:paraId="74FA6AE5" w14:textId="258EB40A" w:rsidR="002E3750" w:rsidRPr="00EC2D64" w:rsidRDefault="002E3750" w:rsidP="00EC2D64">
      <w:pPr>
        <w:pStyle w:val="ListParagraph"/>
        <w:numPr>
          <w:ilvl w:val="0"/>
          <w:numId w:val="2"/>
        </w:numPr>
        <w:rPr>
          <w:lang w:val="en-GB"/>
        </w:rPr>
      </w:pPr>
      <w:r w:rsidRPr="00EC2D64">
        <w:rPr>
          <w:lang w:val="en-GB"/>
        </w:rPr>
        <w:t>T</w:t>
      </w:r>
      <w:r w:rsidR="00E24FC1" w:rsidRPr="00EC2D64">
        <w:rPr>
          <w:lang w:val="en-GB"/>
        </w:rPr>
        <w:t xml:space="preserve">he sub 700MHz band (470-694MHz) </w:t>
      </w:r>
      <w:r w:rsidR="008D4882" w:rsidRPr="00EC2D64">
        <w:rPr>
          <w:lang w:val="en-GB"/>
        </w:rPr>
        <w:t xml:space="preserve">is to </w:t>
      </w:r>
      <w:r w:rsidRPr="00EC2D64">
        <w:rPr>
          <w:lang w:val="en-GB"/>
        </w:rPr>
        <w:t>be used by</w:t>
      </w:r>
      <w:r w:rsidR="00E24FC1" w:rsidRPr="00EC2D64">
        <w:rPr>
          <w:lang w:val="en-GB"/>
        </w:rPr>
        <w:t xml:space="preserve"> </w:t>
      </w:r>
      <w:r w:rsidR="008A529A">
        <w:rPr>
          <w:lang w:val="en-GB"/>
        </w:rPr>
        <w:t xml:space="preserve">the </w:t>
      </w:r>
      <w:r w:rsidR="00E24FC1" w:rsidRPr="00EC2D64">
        <w:rPr>
          <w:lang w:val="en-GB"/>
        </w:rPr>
        <w:t xml:space="preserve">broadcasting </w:t>
      </w:r>
      <w:r w:rsidR="008A529A">
        <w:rPr>
          <w:lang w:val="en-GB"/>
        </w:rPr>
        <w:t xml:space="preserve">sector </w:t>
      </w:r>
      <w:r w:rsidRPr="00EC2D64">
        <w:rPr>
          <w:lang w:val="en-GB"/>
        </w:rPr>
        <w:t xml:space="preserve">exclusively </w:t>
      </w:r>
      <w:r w:rsidR="00E24FC1" w:rsidRPr="00EC2D64">
        <w:rPr>
          <w:lang w:val="en-GB"/>
        </w:rPr>
        <w:t xml:space="preserve">until at least 2030. </w:t>
      </w:r>
    </w:p>
    <w:p w14:paraId="3C1F7307" w14:textId="77777777" w:rsidR="008A529A" w:rsidRDefault="008A529A" w:rsidP="00E24FC1">
      <w:pPr>
        <w:rPr>
          <w:lang w:val="en-GB"/>
        </w:rPr>
      </w:pPr>
    </w:p>
    <w:p w14:paraId="7BE515A7" w14:textId="271F8CC1" w:rsidR="002E3750" w:rsidRDefault="00340303" w:rsidP="00E24FC1">
      <w:pPr>
        <w:rPr>
          <w:lang w:val="en-GB"/>
        </w:rPr>
      </w:pPr>
      <w:r w:rsidRPr="00EC2D64">
        <w:rPr>
          <w:lang w:val="en-GB"/>
        </w:rPr>
        <w:t>B</w:t>
      </w:r>
      <w:r w:rsidR="008A529A" w:rsidRPr="00EC2D64">
        <w:rPr>
          <w:lang w:val="en-GB"/>
        </w:rPr>
        <w:t>roadcast</w:t>
      </w:r>
      <w:r w:rsidR="00505F8E">
        <w:rPr>
          <w:lang w:val="en-GB"/>
        </w:rPr>
        <w:t xml:space="preserve"> network operators</w:t>
      </w:r>
      <w:r w:rsidR="006D6186">
        <w:rPr>
          <w:lang w:val="en-GB"/>
        </w:rPr>
        <w:t xml:space="preserve"> </w:t>
      </w:r>
      <w:r w:rsidR="00864385">
        <w:rPr>
          <w:lang w:val="en-GB"/>
        </w:rPr>
        <w:t>are investing</w:t>
      </w:r>
      <w:r w:rsidR="006D6186">
        <w:rPr>
          <w:lang w:val="en-GB"/>
        </w:rPr>
        <w:t xml:space="preserve"> heavily</w:t>
      </w:r>
      <w:r w:rsidR="006D6186" w:rsidRPr="00EC2D64">
        <w:rPr>
          <w:lang w:val="en-GB"/>
        </w:rPr>
        <w:t xml:space="preserve"> </w:t>
      </w:r>
      <w:r w:rsidRPr="00EC2D64">
        <w:rPr>
          <w:lang w:val="en-GB"/>
        </w:rPr>
        <w:t>i</w:t>
      </w:r>
      <w:r w:rsidR="00E24FC1" w:rsidRPr="00EC2D64">
        <w:rPr>
          <w:lang w:val="en-GB"/>
        </w:rPr>
        <w:t>n</w:t>
      </w:r>
      <w:r w:rsidR="008D4882" w:rsidRPr="00EC2D64">
        <w:rPr>
          <w:lang w:val="en-GB"/>
        </w:rPr>
        <w:t xml:space="preserve"> the</w:t>
      </w:r>
      <w:r w:rsidR="00E24FC1" w:rsidRPr="00EC2D64">
        <w:rPr>
          <w:lang w:val="en-GB"/>
        </w:rPr>
        <w:t xml:space="preserve"> 700MHz migration</w:t>
      </w:r>
      <w:r w:rsidR="008A529A" w:rsidRPr="00EC2D64">
        <w:rPr>
          <w:lang w:val="en-GB"/>
        </w:rPr>
        <w:t xml:space="preserve">. </w:t>
      </w:r>
      <w:r w:rsidR="00C87609">
        <w:rPr>
          <w:lang w:val="en-GB"/>
        </w:rPr>
        <w:t>They</w:t>
      </w:r>
      <w:r w:rsidR="008D4882" w:rsidRPr="00EC2D64">
        <w:rPr>
          <w:lang w:val="en-GB"/>
        </w:rPr>
        <w:t xml:space="preserve"> </w:t>
      </w:r>
      <w:r w:rsidR="008A529A" w:rsidRPr="00EC2D64">
        <w:rPr>
          <w:lang w:val="en-GB"/>
        </w:rPr>
        <w:t xml:space="preserve">are </w:t>
      </w:r>
      <w:r w:rsidR="00FD5DCB">
        <w:rPr>
          <w:lang w:val="en-GB"/>
        </w:rPr>
        <w:t>clearly delivering</w:t>
      </w:r>
      <w:r w:rsidR="00E24FC1" w:rsidRPr="00EC2D64">
        <w:rPr>
          <w:lang w:val="en-GB"/>
        </w:rPr>
        <w:t xml:space="preserve"> </w:t>
      </w:r>
      <w:r w:rsidR="008A529A" w:rsidRPr="00EC2D64">
        <w:rPr>
          <w:lang w:val="en-GB"/>
        </w:rPr>
        <w:t xml:space="preserve">their </w:t>
      </w:r>
      <w:r w:rsidR="00E24FC1" w:rsidRPr="00EC2D64">
        <w:rPr>
          <w:lang w:val="en-GB"/>
        </w:rPr>
        <w:t>part of the deal</w:t>
      </w:r>
      <w:r w:rsidR="008A529A" w:rsidRPr="00EC2D64">
        <w:rPr>
          <w:lang w:val="en-GB"/>
        </w:rPr>
        <w:t xml:space="preserve"> and </w:t>
      </w:r>
      <w:r w:rsidR="00505F8E">
        <w:rPr>
          <w:lang w:val="en-GB"/>
        </w:rPr>
        <w:t xml:space="preserve">are </w:t>
      </w:r>
      <w:r w:rsidR="008A529A" w:rsidRPr="00EC2D64">
        <w:rPr>
          <w:lang w:val="en-GB"/>
        </w:rPr>
        <w:t xml:space="preserve">expecting all sides </w:t>
      </w:r>
      <w:r w:rsidR="006D6186">
        <w:rPr>
          <w:lang w:val="en-GB"/>
        </w:rPr>
        <w:t xml:space="preserve">involved </w:t>
      </w:r>
      <w:r w:rsidR="008A529A" w:rsidRPr="00EC2D64">
        <w:rPr>
          <w:lang w:val="en-GB"/>
        </w:rPr>
        <w:t>to do the same.</w:t>
      </w:r>
    </w:p>
    <w:p w14:paraId="2CA605C3" w14:textId="77777777" w:rsidR="002E3750" w:rsidRDefault="002E3750" w:rsidP="00E24FC1">
      <w:pPr>
        <w:rPr>
          <w:lang w:val="en-GB"/>
        </w:rPr>
      </w:pPr>
    </w:p>
    <w:p w14:paraId="60236754" w14:textId="77777777" w:rsidR="00E24FC1" w:rsidRPr="00E24FC1" w:rsidRDefault="00E24FC1" w:rsidP="00E24FC1">
      <w:r>
        <w:rPr>
          <w:lang w:val="ca-ES"/>
        </w:rPr>
        <w:t> </w:t>
      </w:r>
    </w:p>
    <w:p w14:paraId="493FFD12" w14:textId="0E51CF97" w:rsidR="00E24FC1" w:rsidRPr="00E24FC1" w:rsidRDefault="00E24FC1" w:rsidP="00E24FC1">
      <w:r>
        <w:t xml:space="preserve">For more information, please contact Jaume Pujol : </w:t>
      </w:r>
      <w:hyperlink r:id="rId6" w:history="1">
        <w:r w:rsidR="005A1340" w:rsidRPr="00986805">
          <w:rPr>
            <w:rStyle w:val="Hyperlink"/>
          </w:rPr>
          <w:t>jaume.pujol@broadcast-networks.eu</w:t>
        </w:r>
      </w:hyperlink>
    </w:p>
    <w:p w14:paraId="36DC8989" w14:textId="77777777" w:rsidR="00E24FC1" w:rsidRPr="00E24FC1" w:rsidRDefault="00E24FC1" w:rsidP="00E24FC1">
      <w:r>
        <w:rPr>
          <w:rFonts w:ascii="Calibri" w:hAnsi="Calibri" w:cs="Calibri"/>
          <w:color w:val="1F497D"/>
        </w:rPr>
        <w:t> </w:t>
      </w:r>
    </w:p>
    <w:p w14:paraId="2E894D74" w14:textId="77777777" w:rsidR="006C5AF7" w:rsidRDefault="006C5AF7"/>
    <w:sectPr w:rsidR="006C5AF7" w:rsidSect="00323D2B">
      <w:pgSz w:w="11906" w:h="16838"/>
      <w:pgMar w:top="2381" w:right="1985" w:bottom="1985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34FF4"/>
    <w:multiLevelType w:val="hybridMultilevel"/>
    <w:tmpl w:val="1CC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74D85"/>
    <w:multiLevelType w:val="multilevel"/>
    <w:tmpl w:val="3FD0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4FC1"/>
    <w:rsid w:val="000758F2"/>
    <w:rsid w:val="000D633A"/>
    <w:rsid w:val="001111B2"/>
    <w:rsid w:val="00166B5E"/>
    <w:rsid w:val="0023789D"/>
    <w:rsid w:val="00252C65"/>
    <w:rsid w:val="002E3750"/>
    <w:rsid w:val="00323D2B"/>
    <w:rsid w:val="00340303"/>
    <w:rsid w:val="003D557F"/>
    <w:rsid w:val="0042572B"/>
    <w:rsid w:val="0046484B"/>
    <w:rsid w:val="00505F8E"/>
    <w:rsid w:val="005100C0"/>
    <w:rsid w:val="00585DEC"/>
    <w:rsid w:val="005A1340"/>
    <w:rsid w:val="006C5AF7"/>
    <w:rsid w:val="006D6186"/>
    <w:rsid w:val="00864385"/>
    <w:rsid w:val="00876D33"/>
    <w:rsid w:val="008A529A"/>
    <w:rsid w:val="008D4882"/>
    <w:rsid w:val="00C87609"/>
    <w:rsid w:val="00CA6450"/>
    <w:rsid w:val="00D34E92"/>
    <w:rsid w:val="00DB0209"/>
    <w:rsid w:val="00E24FC1"/>
    <w:rsid w:val="00E53FF8"/>
    <w:rsid w:val="00EC2D64"/>
    <w:rsid w:val="00F03295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C9F3"/>
  <w15:chartTrackingRefBased/>
  <w15:docId w15:val="{161C8038-D5DD-461D-ABC3-2DA3D03A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FC1"/>
    <w:pPr>
      <w:spacing w:after="0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98F2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2C0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2C02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E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2C02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E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05F1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E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05F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E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E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A2C02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E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E92"/>
    <w:rPr>
      <w:rFonts w:asciiTheme="majorHAnsi" w:eastAsiaTheme="majorEastAsia" w:hAnsiTheme="majorHAnsi" w:cstheme="majorBidi"/>
      <w:b/>
      <w:bCs/>
      <w:color w:val="798F2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E92"/>
    <w:rPr>
      <w:rFonts w:asciiTheme="majorHAnsi" w:eastAsiaTheme="majorEastAsia" w:hAnsiTheme="majorHAnsi" w:cstheme="majorBidi"/>
      <w:b/>
      <w:bCs/>
      <w:color w:val="A2C0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E92"/>
    <w:rPr>
      <w:rFonts w:asciiTheme="majorHAnsi" w:eastAsiaTheme="majorEastAsia" w:hAnsiTheme="majorHAnsi" w:cstheme="majorBidi"/>
      <w:b/>
      <w:bCs/>
      <w:color w:val="A2C02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E92"/>
    <w:rPr>
      <w:rFonts w:asciiTheme="majorHAnsi" w:eastAsiaTheme="majorEastAsia" w:hAnsiTheme="majorHAnsi" w:cstheme="majorBidi"/>
      <w:b/>
      <w:bCs/>
      <w:i/>
      <w:iCs/>
      <w:color w:val="A2C02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E92"/>
    <w:rPr>
      <w:rFonts w:asciiTheme="majorHAnsi" w:eastAsiaTheme="majorEastAsia" w:hAnsiTheme="majorHAnsi" w:cstheme="majorBidi"/>
      <w:color w:val="505F1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E92"/>
    <w:rPr>
      <w:rFonts w:asciiTheme="majorHAnsi" w:eastAsiaTheme="majorEastAsia" w:hAnsiTheme="majorHAnsi" w:cstheme="majorBidi"/>
      <w:i/>
      <w:iCs/>
      <w:color w:val="505F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E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E92"/>
    <w:rPr>
      <w:rFonts w:asciiTheme="majorHAnsi" w:eastAsiaTheme="majorEastAsia" w:hAnsiTheme="majorHAnsi" w:cstheme="majorBidi"/>
      <w:color w:val="A2C02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E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E92"/>
    <w:rPr>
      <w:b/>
      <w:bCs/>
      <w:color w:val="A2C02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E92"/>
    <w:pPr>
      <w:pBdr>
        <w:bottom w:val="single" w:sz="8" w:space="4" w:color="A2C02F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E92"/>
    <w:pPr>
      <w:numPr>
        <w:ilvl w:val="1"/>
      </w:numPr>
    </w:pPr>
    <w:rPr>
      <w:rFonts w:asciiTheme="majorHAnsi" w:eastAsiaTheme="majorEastAsia" w:hAnsiTheme="majorHAnsi" w:cstheme="majorBidi"/>
      <w:i/>
      <w:iCs/>
      <w:color w:val="A2C0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4E92"/>
    <w:rPr>
      <w:rFonts w:asciiTheme="majorHAnsi" w:eastAsiaTheme="majorEastAsia" w:hAnsiTheme="majorHAnsi" w:cstheme="majorBidi"/>
      <w:i/>
      <w:iCs/>
      <w:color w:val="A2C02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4E92"/>
    <w:rPr>
      <w:b/>
      <w:bCs/>
    </w:rPr>
  </w:style>
  <w:style w:type="character" w:styleId="Emphasis">
    <w:name w:val="Emphasis"/>
    <w:basedOn w:val="DefaultParagraphFont"/>
    <w:uiPriority w:val="20"/>
    <w:qFormat/>
    <w:rsid w:val="00D34E92"/>
    <w:rPr>
      <w:i/>
      <w:iCs/>
    </w:rPr>
  </w:style>
  <w:style w:type="paragraph" w:styleId="NoSpacing">
    <w:name w:val="No Spacing"/>
    <w:uiPriority w:val="1"/>
    <w:qFormat/>
    <w:rsid w:val="00D34E92"/>
    <w:pPr>
      <w:spacing w:after="0"/>
    </w:pPr>
  </w:style>
  <w:style w:type="paragraph" w:styleId="ListParagraph">
    <w:name w:val="List Paragraph"/>
    <w:basedOn w:val="Normal"/>
    <w:uiPriority w:val="34"/>
    <w:qFormat/>
    <w:rsid w:val="00D34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4E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4E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E92"/>
    <w:pPr>
      <w:pBdr>
        <w:bottom w:val="single" w:sz="4" w:space="4" w:color="A2C02F" w:themeColor="accent1"/>
      </w:pBdr>
      <w:spacing w:before="200" w:after="280"/>
      <w:ind w:left="936" w:right="936"/>
    </w:pPr>
    <w:rPr>
      <w:b/>
      <w:bCs/>
      <w:i/>
      <w:iCs/>
      <w:color w:val="A2C0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E92"/>
    <w:rPr>
      <w:b/>
      <w:bCs/>
      <w:i/>
      <w:iCs/>
      <w:color w:val="A2C02F" w:themeColor="accent1"/>
    </w:rPr>
  </w:style>
  <w:style w:type="character" w:styleId="SubtleEmphasis">
    <w:name w:val="Subtle Emphasis"/>
    <w:basedOn w:val="DefaultParagraphFont"/>
    <w:uiPriority w:val="19"/>
    <w:qFormat/>
    <w:rsid w:val="00D34E9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4E92"/>
    <w:rPr>
      <w:b/>
      <w:bCs/>
      <w:i/>
      <w:iCs/>
      <w:color w:val="A2C02F" w:themeColor="accent1"/>
    </w:rPr>
  </w:style>
  <w:style w:type="character" w:styleId="SubtleReference">
    <w:name w:val="Subtle Reference"/>
    <w:basedOn w:val="DefaultParagraphFont"/>
    <w:uiPriority w:val="31"/>
    <w:qFormat/>
    <w:rsid w:val="00D34E92"/>
    <w:rPr>
      <w:smallCaps/>
      <w:color w:val="41404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4E92"/>
    <w:rPr>
      <w:b/>
      <w:bCs/>
      <w:smallCaps/>
      <w:color w:val="41404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4E9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E9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24F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33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1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me.pujol@broadcast-networks.eu" TargetMode="External"/><Relationship Id="rId5" Type="http://schemas.openxmlformats.org/officeDocument/2006/relationships/hyperlink" Target="http://www.broadcast-networks.eu/wp-content/uploads/2020/03/bne_infographic_22_01_2020_with-5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nterel">
  <a:themeElements>
    <a:clrScheme name="Interel 20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2C02F"/>
      </a:accent1>
      <a:accent2>
        <a:srgbClr val="414042"/>
      </a:accent2>
      <a:accent3>
        <a:srgbClr val="A61B6A"/>
      </a:accent3>
      <a:accent4>
        <a:srgbClr val="E4891B"/>
      </a:accent4>
      <a:accent5>
        <a:srgbClr val="62A0B4"/>
      </a:accent5>
      <a:accent6>
        <a:srgbClr val="9B8579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rel" id="{E1ACB9B9-826A-4B40-A225-596AE2248917}" vid="{8CD58424-19BA-4FD5-B31B-033336378EA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Jubert, Line</dc:creator>
  <cp:keywords/>
  <dc:description/>
  <cp:lastModifiedBy>Jubert, Line</cp:lastModifiedBy>
  <cp:revision>2</cp:revision>
  <dcterms:created xsi:type="dcterms:W3CDTF">2020-03-16T14:33:00Z</dcterms:created>
  <dcterms:modified xsi:type="dcterms:W3CDTF">2020-03-16T14:33:00Z</dcterms:modified>
</cp:coreProperties>
</file>